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BEB3" w14:textId="5911ADA6" w:rsidR="00644263" w:rsidRPr="00D7267F" w:rsidRDefault="008779C6" w:rsidP="00917BD5">
      <w:pPr>
        <w:spacing w:line="240" w:lineRule="auto"/>
        <w:jc w:val="center"/>
        <w:rPr>
          <w:rFonts w:cstheme="minorHAnsi"/>
          <w:b/>
          <w:sz w:val="32"/>
        </w:rPr>
      </w:pPr>
      <w:r w:rsidRPr="006218A4">
        <w:rPr>
          <w:b/>
          <w:bCs/>
          <w:i/>
          <w:smallCaps/>
          <w:noProof/>
          <w:color w:val="FF0000"/>
          <w:spacing w:val="5"/>
          <w:sz w:val="60"/>
          <w:szCs w:val="56"/>
          <w:lang w:eastAsia="en-GB"/>
        </w:rPr>
        <w:drawing>
          <wp:anchor distT="0" distB="0" distL="114300" distR="114300" simplePos="0" relativeHeight="251660288" behindDoc="0" locked="0" layoutInCell="1" allowOverlap="1" wp14:anchorId="2C1C2977" wp14:editId="781B646C">
            <wp:simplePos x="0" y="0"/>
            <wp:positionH relativeFrom="column">
              <wp:posOffset>717550</wp:posOffset>
            </wp:positionH>
            <wp:positionV relativeFrom="paragraph">
              <wp:posOffset>-222250</wp:posOffset>
            </wp:positionV>
            <wp:extent cx="857250" cy="896573"/>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965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en-GB"/>
        </w:rPr>
        <w:t xml:space="preserve">                 </w:t>
      </w:r>
      <w:r>
        <w:rPr>
          <w:rFonts w:cstheme="minorHAnsi"/>
          <w:noProof/>
          <w:lang w:eastAsia="en-GB"/>
        </w:rPr>
        <w:drawing>
          <wp:inline distT="0" distB="0" distL="0" distR="0" wp14:anchorId="163F94B8" wp14:editId="39219795">
            <wp:extent cx="996950" cy="571014"/>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840" cy="576678"/>
                    </a:xfrm>
                    <a:prstGeom prst="rect">
                      <a:avLst/>
                    </a:prstGeom>
                  </pic:spPr>
                </pic:pic>
              </a:graphicData>
            </a:graphic>
          </wp:inline>
        </w:drawing>
      </w:r>
      <w:r>
        <w:rPr>
          <w:rFonts w:cstheme="minorHAnsi"/>
          <w:noProof/>
          <w:lang w:eastAsia="en-GB"/>
        </w:rPr>
        <w:t xml:space="preserve">                            </w:t>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7ECFD74A" w:rsidR="007F6ABD" w:rsidRDefault="007F6ABD" w:rsidP="00917BD5">
      <w:pPr>
        <w:spacing w:line="240" w:lineRule="auto"/>
        <w:jc w:val="center"/>
        <w:rPr>
          <w:rFonts w:cstheme="minorHAnsi"/>
          <w:b/>
          <w:sz w:val="32"/>
        </w:rPr>
      </w:pPr>
      <w:r>
        <w:rPr>
          <w:rFonts w:cstheme="minorHAnsi"/>
          <w:b/>
          <w:sz w:val="32"/>
        </w:rPr>
        <w:t>(</w:t>
      </w:r>
      <w:r w:rsidR="008779C6">
        <w:rPr>
          <w:rFonts w:cstheme="minorHAnsi"/>
          <w:b/>
          <w:sz w:val="32"/>
        </w:rPr>
        <w:t>Including</w:t>
      </w:r>
      <w:r>
        <w:rPr>
          <w:rFonts w:cstheme="minorHAnsi"/>
          <w:b/>
          <w:sz w:val="32"/>
        </w:rPr>
        <w:t xml:space="preserve">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41F43357" w14:textId="77777777" w:rsidR="00F7710B" w:rsidRPr="00D7267F" w:rsidRDefault="00F7710B" w:rsidP="00917BD5">
      <w:pPr>
        <w:spacing w:line="240" w:lineRule="auto"/>
        <w:rPr>
          <w:rFonts w:cstheme="minorHAnsi"/>
        </w:rPr>
      </w:pPr>
    </w:p>
    <w:tbl>
      <w:tblPr>
        <w:tblStyle w:val="PlainTable21"/>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4C0833D2"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008779C6">
              <w:rPr>
                <w:rFonts w:asciiTheme="minorHAnsi" w:hAnsiTheme="minorHAnsi" w:cstheme="minorHAnsi"/>
                <w:sz w:val="22"/>
                <w:szCs w:val="22"/>
              </w:rPr>
              <w:t>: Hunts Cross Primary School</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5B3B51A"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008779C6">
              <w:rPr>
                <w:rFonts w:asciiTheme="minorHAnsi" w:hAnsiTheme="minorHAnsi" w:cstheme="minorHAnsi"/>
                <w:sz w:val="22"/>
                <w:szCs w:val="22"/>
              </w:rPr>
              <w:t>: March 2022</w:t>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3831BE2A"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8779C6">
              <w:rPr>
                <w:rFonts w:asciiTheme="minorHAnsi" w:hAnsiTheme="minorHAnsi" w:cstheme="minorHAnsi"/>
                <w:sz w:val="22"/>
                <w:szCs w:val="22"/>
              </w:rPr>
              <w:t xml:space="preserve">: </w:t>
            </w:r>
            <w:proofErr w:type="spellStart"/>
            <w:r w:rsidR="008779C6">
              <w:rPr>
                <w:rFonts w:asciiTheme="minorHAnsi" w:hAnsiTheme="minorHAnsi" w:cstheme="minorHAnsi"/>
                <w:sz w:val="22"/>
                <w:szCs w:val="22"/>
              </w:rPr>
              <w:t>Mrs</w:t>
            </w:r>
            <w:proofErr w:type="spellEnd"/>
            <w:r w:rsidR="008779C6">
              <w:rPr>
                <w:rFonts w:asciiTheme="minorHAnsi" w:hAnsiTheme="minorHAnsi" w:cstheme="minorHAnsi"/>
                <w:sz w:val="22"/>
                <w:szCs w:val="22"/>
              </w:rPr>
              <w:t xml:space="preserve"> Taylor</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082625F8" w:rsidR="009B041F" w:rsidRPr="00D7267F" w:rsidRDefault="008779C6"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Summer 2023</w:t>
            </w: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2B204D9A" w14:textId="77777777" w:rsidR="0090364C" w:rsidRDefault="0090364C" w:rsidP="0027651A">
      <w:pPr>
        <w:pStyle w:val="Default"/>
        <w:rPr>
          <w:rFonts w:asciiTheme="minorHAnsi" w:hAnsiTheme="minorHAnsi" w:cstheme="minorHAnsi"/>
          <w:b/>
          <w:bCs/>
          <w:iCs/>
          <w:sz w:val="22"/>
          <w:szCs w:val="22"/>
        </w:rPr>
      </w:pPr>
    </w:p>
    <w:p w14:paraId="1D847A4B" w14:textId="496B979A" w:rsidR="0027651A" w:rsidRPr="00044556" w:rsidRDefault="0027651A" w:rsidP="0027651A">
      <w:pPr>
        <w:pStyle w:val="Default"/>
        <w:rPr>
          <w:rFonts w:asciiTheme="minorHAnsi" w:hAnsiTheme="minorHAnsi" w:cstheme="minorHAnsi"/>
          <w:b/>
          <w:bCs/>
          <w:iCs/>
          <w:sz w:val="22"/>
          <w:szCs w:val="22"/>
        </w:rPr>
      </w:pPr>
      <w:r w:rsidRPr="00044556">
        <w:rPr>
          <w:rFonts w:asciiTheme="minorHAnsi" w:hAnsiTheme="minorHAnsi" w:cstheme="minorHAnsi"/>
          <w:b/>
          <w:bCs/>
          <w:iCs/>
          <w:sz w:val="22"/>
          <w:szCs w:val="22"/>
        </w:rPr>
        <w:t>PSHE</w:t>
      </w:r>
    </w:p>
    <w:p w14:paraId="11AC3882" w14:textId="77777777" w:rsidR="00044556" w:rsidRPr="00044556" w:rsidRDefault="00044556" w:rsidP="00044556">
      <w:pPr>
        <w:autoSpaceDE w:val="0"/>
        <w:adjustRightInd w:val="0"/>
        <w:spacing w:after="0" w:line="240" w:lineRule="auto"/>
        <w:rPr>
          <w:rFonts w:cs="Calibri"/>
        </w:rPr>
      </w:pPr>
      <w:r w:rsidRPr="00044556">
        <w:rPr>
          <w:rFonts w:cs="Calibri"/>
        </w:rPr>
        <w:t xml:space="preserve">Our school’s ethos and objectives for our pupils are to produce model citizens who make the most of their abilities and become responsible and caring members of the community.  This policy informs the school’s overarching aims and objectives by ensuring all members of the school share the same vision and are aware of the needs of the children within lessons which may have sensitive content.  This policy is informed by our school’s ethos which promotes children having the knowledge to support them in leading healthy and independent lives. </w:t>
      </w:r>
    </w:p>
    <w:p w14:paraId="17008090" w14:textId="77777777" w:rsidR="00044556" w:rsidRPr="00044556" w:rsidRDefault="00044556" w:rsidP="00044556">
      <w:pPr>
        <w:autoSpaceDE w:val="0"/>
        <w:adjustRightInd w:val="0"/>
        <w:spacing w:after="0" w:line="240" w:lineRule="auto"/>
        <w:rPr>
          <w:rFonts w:cs="Calibri"/>
        </w:rPr>
      </w:pPr>
    </w:p>
    <w:p w14:paraId="0950C3AC" w14:textId="0732F488" w:rsidR="00044556" w:rsidRPr="00044556" w:rsidRDefault="00044556" w:rsidP="00044556">
      <w:pPr>
        <w:autoSpaceDE w:val="0"/>
        <w:adjustRightInd w:val="0"/>
        <w:spacing w:after="0" w:line="240" w:lineRule="auto"/>
        <w:rPr>
          <w:rFonts w:cs="Calibri"/>
        </w:rPr>
      </w:pPr>
      <w:r w:rsidRPr="00044556">
        <w:rPr>
          <w:rFonts w:cs="Calibri"/>
        </w:rPr>
        <w:t xml:space="preserve">This policy fulfils our school ethos by ensuring that children receive a broad and balanced Personal, Social, Health and Economic education. Our PSHE programme aims to encourage informed critical thinkers that have the same access to information regardless of ability, gender, race or religion. Our PSHE education programme promotes equality, spiritual, moral, social and cultural development to become valued members of an ever changing society. It aims to support the mental and emotional wellbeing of all children across their learning. </w:t>
      </w:r>
    </w:p>
    <w:p w14:paraId="7A6F492A" w14:textId="77777777" w:rsidR="00044556" w:rsidRPr="00044556" w:rsidRDefault="00044556" w:rsidP="00044556">
      <w:pPr>
        <w:autoSpaceDE w:val="0"/>
        <w:adjustRightInd w:val="0"/>
        <w:spacing w:after="0" w:line="240" w:lineRule="auto"/>
        <w:rPr>
          <w:rFonts w:cs="Calibri"/>
        </w:rPr>
      </w:pPr>
    </w:p>
    <w:p w14:paraId="1A56CC7E" w14:textId="77777777" w:rsidR="00044556" w:rsidRPr="00044556" w:rsidRDefault="00044556" w:rsidP="00044556">
      <w:pPr>
        <w:autoSpaceDE w:val="0"/>
        <w:adjustRightInd w:val="0"/>
        <w:spacing w:after="0" w:line="240" w:lineRule="auto"/>
        <w:rPr>
          <w:rFonts w:cs="Calibri"/>
        </w:rPr>
      </w:pPr>
      <w:r w:rsidRPr="00044556">
        <w:rPr>
          <w:rFonts w:cs="Calibri"/>
        </w:rPr>
        <w:t>Our PSHE education programme promotes the school values of:</w:t>
      </w:r>
    </w:p>
    <w:p w14:paraId="0EEFB78C" w14:textId="77777777"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sidRPr="00044556">
        <w:rPr>
          <w:rFonts w:eastAsia="Times New Roman"/>
          <w:color w:val="000000"/>
          <w:bdr w:val="none" w:sz="0" w:space="0" w:color="auto" w:frame="1"/>
          <w:lang w:eastAsia="en-GB"/>
        </w:rPr>
        <w:t>Honesty</w:t>
      </w:r>
    </w:p>
    <w:p w14:paraId="1D612B10" w14:textId="77777777"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sidRPr="00044556">
        <w:rPr>
          <w:rFonts w:eastAsia="Times New Roman"/>
          <w:color w:val="000000"/>
          <w:bdr w:val="none" w:sz="0" w:space="0" w:color="auto" w:frame="1"/>
          <w:lang w:eastAsia="en-GB"/>
        </w:rPr>
        <w:t>Respect</w:t>
      </w:r>
    </w:p>
    <w:p w14:paraId="33BDB6F1" w14:textId="77777777"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sidRPr="00044556">
        <w:rPr>
          <w:rFonts w:eastAsia="Times New Roman"/>
          <w:color w:val="000000"/>
          <w:bdr w:val="none" w:sz="0" w:space="0" w:color="auto" w:frame="1"/>
          <w:lang w:eastAsia="en-GB"/>
        </w:rPr>
        <w:t>Self-belief</w:t>
      </w:r>
    </w:p>
    <w:p w14:paraId="102002E3" w14:textId="77777777"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sidRPr="00044556">
        <w:rPr>
          <w:rFonts w:eastAsia="Times New Roman"/>
          <w:color w:val="000000"/>
          <w:bdr w:val="none" w:sz="0" w:space="0" w:color="auto" w:frame="1"/>
          <w:lang w:eastAsia="en-GB"/>
        </w:rPr>
        <w:t>Determination</w:t>
      </w:r>
    </w:p>
    <w:p w14:paraId="371B6EF2" w14:textId="77777777"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sidRPr="00044556">
        <w:rPr>
          <w:rFonts w:eastAsia="Times New Roman"/>
          <w:color w:val="000000"/>
          <w:bdr w:val="none" w:sz="0" w:space="0" w:color="auto" w:frame="1"/>
          <w:lang w:eastAsia="en-GB"/>
        </w:rPr>
        <w:t>Passion</w:t>
      </w:r>
    </w:p>
    <w:p w14:paraId="327C0166" w14:textId="48DBC5B2"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sidRPr="00044556">
        <w:rPr>
          <w:rFonts w:eastAsia="Times New Roman"/>
          <w:color w:val="000000"/>
          <w:bdr w:val="none" w:sz="0" w:space="0" w:color="auto" w:frame="1"/>
          <w:lang w:eastAsia="en-GB"/>
        </w:rPr>
        <w:lastRenderedPageBreak/>
        <w:t>Teamwork</w:t>
      </w:r>
    </w:p>
    <w:p w14:paraId="323C11A9" w14:textId="18356053" w:rsidR="00044556" w:rsidRPr="00044556" w:rsidRDefault="00044556" w:rsidP="00044556">
      <w:pPr>
        <w:numPr>
          <w:ilvl w:val="0"/>
          <w:numId w:val="37"/>
        </w:numPr>
        <w:spacing w:after="0" w:line="240" w:lineRule="auto"/>
        <w:ind w:left="0"/>
        <w:textAlignment w:val="top"/>
        <w:rPr>
          <w:rFonts w:eastAsia="Times New Roman"/>
          <w:color w:val="000000"/>
          <w:lang w:eastAsia="en-GB"/>
        </w:rPr>
      </w:pPr>
      <w:r>
        <w:rPr>
          <w:rFonts w:eastAsia="Times New Roman"/>
          <w:color w:val="000000"/>
          <w:bdr w:val="none" w:sz="0" w:space="0" w:color="auto" w:frame="1"/>
          <w:lang w:eastAsia="en-GB"/>
        </w:rPr>
        <w:t>Equality</w:t>
      </w:r>
    </w:p>
    <w:p w14:paraId="3FA3DDD7" w14:textId="77777777" w:rsidR="00044556" w:rsidRPr="00044556" w:rsidRDefault="00044556" w:rsidP="0027651A">
      <w:pPr>
        <w:pStyle w:val="Default"/>
        <w:rPr>
          <w:rFonts w:asciiTheme="minorHAnsi" w:hAnsiTheme="minorHAnsi" w:cstheme="minorHAnsi"/>
          <w:b/>
          <w:bCs/>
          <w:iCs/>
        </w:rPr>
      </w:pPr>
    </w:p>
    <w:p w14:paraId="6E506A7A" w14:textId="77777777" w:rsidR="0090364C" w:rsidRDefault="0090364C" w:rsidP="0027651A">
      <w:pPr>
        <w:pStyle w:val="Default"/>
        <w:rPr>
          <w:rFonts w:asciiTheme="minorHAnsi" w:hAnsiTheme="minorHAnsi" w:cstheme="minorHAnsi"/>
          <w:b/>
          <w:bCs/>
          <w:iCs/>
          <w:sz w:val="22"/>
          <w:szCs w:val="22"/>
        </w:rPr>
      </w:pPr>
    </w:p>
    <w:p w14:paraId="20AEBB5E" w14:textId="2EC0EFF6"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8779C6">
        <w:rPr>
          <w:rFonts w:asciiTheme="minorHAnsi" w:hAnsiTheme="minorHAnsi" w:cstheme="minorHAnsi"/>
          <w:iCs/>
          <w:sz w:val="22"/>
          <w:szCs w:val="22"/>
        </w:rPr>
        <w:t>Hunts Cross</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3AC283EA" w:rsidR="0027651A"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534B6FCA" w14:textId="100C72AD" w:rsidR="008779C6" w:rsidRDefault="008779C6" w:rsidP="0027651A">
      <w:pPr>
        <w:pStyle w:val="Default"/>
        <w:rPr>
          <w:rFonts w:asciiTheme="minorHAnsi" w:hAnsiTheme="minorHAnsi" w:cstheme="minorHAnsi"/>
          <w:iCs/>
          <w:sz w:val="22"/>
          <w:szCs w:val="22"/>
        </w:rPr>
      </w:pPr>
    </w:p>
    <w:p w14:paraId="4898059A" w14:textId="282B94AA" w:rsidR="008779C6" w:rsidRDefault="008779C6" w:rsidP="0027651A">
      <w:pPr>
        <w:pStyle w:val="Default"/>
        <w:rPr>
          <w:rFonts w:asciiTheme="minorHAnsi" w:hAnsiTheme="minorHAnsi" w:cstheme="minorHAnsi"/>
          <w:iCs/>
          <w:sz w:val="22"/>
          <w:szCs w:val="22"/>
        </w:rPr>
      </w:pPr>
      <w:r>
        <w:rPr>
          <w:rFonts w:asciiTheme="minorHAnsi" w:hAnsiTheme="minorHAnsi" w:cstheme="minorHAnsi"/>
          <w:iCs/>
          <w:sz w:val="22"/>
          <w:szCs w:val="22"/>
        </w:rPr>
        <w:t>Throughout the year, we supplement the Jigsaw curriculum with P4C Lessons</w:t>
      </w:r>
      <w:r w:rsidR="000F7FFA">
        <w:rPr>
          <w:rFonts w:asciiTheme="minorHAnsi" w:hAnsiTheme="minorHAnsi" w:cstheme="minorHAnsi"/>
          <w:iCs/>
          <w:sz w:val="22"/>
          <w:szCs w:val="22"/>
        </w:rPr>
        <w:t>, Restorative Practise</w:t>
      </w:r>
      <w:r w:rsidR="00044556">
        <w:rPr>
          <w:rFonts w:asciiTheme="minorHAnsi" w:hAnsiTheme="minorHAnsi" w:cstheme="minorHAnsi"/>
          <w:iCs/>
          <w:sz w:val="22"/>
          <w:szCs w:val="22"/>
        </w:rPr>
        <w:t xml:space="preserve"> and </w:t>
      </w:r>
      <w:r>
        <w:rPr>
          <w:rFonts w:asciiTheme="minorHAnsi" w:hAnsiTheme="minorHAnsi" w:cstheme="minorHAnsi"/>
          <w:iCs/>
          <w:sz w:val="22"/>
          <w:szCs w:val="22"/>
        </w:rPr>
        <w:t xml:space="preserve">Roar Mental Health lessons (strategies used in </w:t>
      </w:r>
      <w:r w:rsidR="00044556">
        <w:rPr>
          <w:rFonts w:asciiTheme="minorHAnsi" w:hAnsiTheme="minorHAnsi" w:cstheme="minorHAnsi"/>
          <w:iCs/>
          <w:sz w:val="22"/>
          <w:szCs w:val="22"/>
        </w:rPr>
        <w:t>everyday</w:t>
      </w:r>
      <w:r>
        <w:rPr>
          <w:rFonts w:asciiTheme="minorHAnsi" w:hAnsiTheme="minorHAnsi" w:cstheme="minorHAnsi"/>
          <w:iCs/>
          <w:sz w:val="22"/>
          <w:szCs w:val="22"/>
        </w:rPr>
        <w:t xml:space="preserve"> practise)</w:t>
      </w:r>
      <w:r w:rsidR="00044556">
        <w:rPr>
          <w:rFonts w:asciiTheme="minorHAnsi" w:hAnsiTheme="minorHAnsi" w:cstheme="minorHAnsi"/>
          <w:iCs/>
          <w:sz w:val="22"/>
          <w:szCs w:val="22"/>
        </w:rPr>
        <w:t>. Children also have</w:t>
      </w:r>
      <w:r>
        <w:rPr>
          <w:rFonts w:asciiTheme="minorHAnsi" w:hAnsiTheme="minorHAnsi" w:cstheme="minorHAnsi"/>
          <w:iCs/>
          <w:sz w:val="22"/>
          <w:szCs w:val="22"/>
        </w:rPr>
        <w:t xml:space="preserve"> access to Loss, Change and Bereavement lessons </w:t>
      </w:r>
      <w:r w:rsidR="00044556">
        <w:rPr>
          <w:rFonts w:asciiTheme="minorHAnsi" w:hAnsiTheme="minorHAnsi" w:cstheme="minorHAnsi"/>
          <w:iCs/>
          <w:sz w:val="22"/>
          <w:szCs w:val="22"/>
        </w:rPr>
        <w:t xml:space="preserve">which are </w:t>
      </w:r>
      <w:r w:rsidR="000F7FFA">
        <w:rPr>
          <w:rFonts w:asciiTheme="minorHAnsi" w:hAnsiTheme="minorHAnsi" w:cstheme="minorHAnsi"/>
          <w:iCs/>
          <w:sz w:val="22"/>
          <w:szCs w:val="22"/>
        </w:rPr>
        <w:t>led</w:t>
      </w:r>
      <w:r w:rsidR="00044556">
        <w:rPr>
          <w:rFonts w:asciiTheme="minorHAnsi" w:hAnsiTheme="minorHAnsi" w:cstheme="minorHAnsi"/>
          <w:iCs/>
          <w:sz w:val="22"/>
          <w:szCs w:val="22"/>
        </w:rPr>
        <w:t xml:space="preserve"> by our mental health lead</w:t>
      </w:r>
      <w:r w:rsidR="000F7FFA">
        <w:rPr>
          <w:rFonts w:asciiTheme="minorHAnsi" w:hAnsiTheme="minorHAnsi" w:cstheme="minorHAnsi"/>
          <w:iCs/>
          <w:sz w:val="22"/>
          <w:szCs w:val="22"/>
        </w:rPr>
        <w:t xml:space="preserve"> who provides a range of</w:t>
      </w:r>
      <w:r>
        <w:rPr>
          <w:rFonts w:asciiTheme="minorHAnsi" w:hAnsiTheme="minorHAnsi" w:cstheme="minorHAnsi"/>
          <w:iCs/>
          <w:sz w:val="22"/>
          <w:szCs w:val="22"/>
        </w:rPr>
        <w:t xml:space="preserve"> child-friendly reading material to support this</w:t>
      </w:r>
      <w:r w:rsidR="000F7FFA">
        <w:rPr>
          <w:rFonts w:asciiTheme="minorHAnsi" w:hAnsiTheme="minorHAnsi" w:cstheme="minorHAnsi"/>
          <w:iCs/>
          <w:sz w:val="22"/>
          <w:szCs w:val="22"/>
        </w:rPr>
        <w:t xml:space="preserve">, techniques and support to both children and adults alike. </w:t>
      </w:r>
    </w:p>
    <w:p w14:paraId="6780FE96" w14:textId="77777777" w:rsidR="00044556" w:rsidRPr="0027651A" w:rsidRDefault="00044556" w:rsidP="0027651A">
      <w:pPr>
        <w:pStyle w:val="Default"/>
        <w:rPr>
          <w:rFonts w:asciiTheme="minorHAnsi" w:hAnsiTheme="minorHAnsi" w:cstheme="minorHAnsi"/>
          <w:sz w:val="22"/>
          <w:szCs w:val="22"/>
        </w:rPr>
      </w:pPr>
    </w:p>
    <w:p w14:paraId="3336AB6D" w14:textId="7F05326A" w:rsidR="007F6ABD" w:rsidRDefault="007F6ABD" w:rsidP="007F6ABD">
      <w:pPr>
        <w:pStyle w:val="Default"/>
        <w:rPr>
          <w:rFonts w:asciiTheme="minorHAnsi" w:hAnsiTheme="minorHAnsi" w:cstheme="minorHAnsi"/>
          <w:iCs/>
          <w:sz w:val="22"/>
          <w:szCs w:val="22"/>
        </w:rPr>
      </w:pPr>
    </w:p>
    <w:p w14:paraId="056C0C90" w14:textId="76E126E3" w:rsidR="00A42CAC" w:rsidRPr="00293D64" w:rsidRDefault="00A42CAC" w:rsidP="00293D64">
      <w:pPr>
        <w:rPr>
          <w:rFonts w:cstheme="minorHAnsi"/>
          <w:b/>
          <w:bCs/>
          <w:iCs/>
          <w:color w:val="000000"/>
          <w:sz w:val="24"/>
          <w:szCs w:val="24"/>
        </w:rPr>
      </w:pPr>
      <w:r w:rsidRPr="00A42CAC">
        <w:rPr>
          <w:rFonts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lastRenderedPageBreak/>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29E6A195" w:rsidR="00ED56EC" w:rsidRDefault="007F6ABD" w:rsidP="00917BD5">
      <w:pPr>
        <w:spacing w:after="0" w:line="240" w:lineRule="auto"/>
        <w:rPr>
          <w:rFonts w:cstheme="minorHAnsi"/>
          <w:color w:val="000000"/>
        </w:rPr>
      </w:pPr>
      <w:r>
        <w:rPr>
          <w:rFonts w:cstheme="minorHAnsi"/>
          <w:color w:val="000000"/>
        </w:rPr>
        <w:t xml:space="preserve">Here, at </w:t>
      </w:r>
      <w:r w:rsidR="00044556">
        <w:rPr>
          <w:rFonts w:cstheme="minorHAnsi"/>
          <w:color w:val="000000"/>
        </w:rPr>
        <w:t>Hunts Cross</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lastRenderedPageBreak/>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1"/>
        <w:tblW w:w="5000" w:type="pct"/>
        <w:tblLayout w:type="fixed"/>
        <w:tblLook w:val="04A0" w:firstRow="1" w:lastRow="0" w:firstColumn="1" w:lastColumn="0" w:noHBand="0" w:noVBand="1"/>
      </w:tblPr>
      <w:tblGrid>
        <w:gridCol w:w="1303"/>
        <w:gridCol w:w="1889"/>
        <w:gridCol w:w="6050"/>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1B24B63D" w:rsidR="00C83D35" w:rsidRDefault="006C7D7D">
      <w:pPr>
        <w:rPr>
          <w:rFonts w:eastAsia="Times New Roman" w:cstheme="minorHAnsi"/>
          <w:lang w:eastAsia="en-GB"/>
        </w:rPr>
      </w:pPr>
      <w:r w:rsidRPr="006C7D7D">
        <w:rPr>
          <w:rFonts w:eastAsia="Times New Roman" w:cstheme="minorHAnsi"/>
          <w:lang w:eastAsia="en-GB"/>
        </w:rPr>
        <w:t xml:space="preserve">At </w:t>
      </w:r>
      <w:r w:rsidR="000F7FFA">
        <w:rPr>
          <w:rFonts w:eastAsia="Times New Roman" w:cstheme="minorHAnsi"/>
          <w:lang w:eastAsia="en-GB"/>
        </w:rPr>
        <w:t>Hunts Cross</w:t>
      </w:r>
      <w:r w:rsidRPr="006C7D7D">
        <w:rPr>
          <w:rFonts w:eastAsia="Times New Roman" w:cstheme="minorHAnsi"/>
          <w:lang w:eastAsia="en-GB"/>
        </w:rPr>
        <w:t xml:space="preserve"> School we </w:t>
      </w:r>
      <w:r w:rsidR="000F7FFA" w:rsidRPr="006C7D7D">
        <w:rPr>
          <w:rFonts w:eastAsia="Times New Roman" w:cstheme="minorHAnsi"/>
          <w:lang w:eastAsia="en-GB"/>
        </w:rPr>
        <w:t>allocate 45</w:t>
      </w:r>
      <w:r w:rsidR="000F7FFA">
        <w:rPr>
          <w:rFonts w:eastAsia="Times New Roman" w:cstheme="minorHAnsi"/>
          <w:lang w:eastAsia="en-GB"/>
        </w:rPr>
        <w:t xml:space="preserve"> minutes</w:t>
      </w:r>
      <w:r w:rsidRPr="006C7D7D">
        <w:rPr>
          <w:rFonts w:eastAsia="Times New Roman" w:cstheme="minorHAnsi"/>
          <w:lang w:eastAsia="en-GB"/>
        </w:rPr>
        <w:t xml:space="preserve"> to PSHE each week </w:t>
      </w:r>
      <w:r w:rsidR="00B632E8" w:rsidRPr="006C7D7D">
        <w:rPr>
          <w:rFonts w:eastAsia="Times New Roman" w:cstheme="minorHAnsi"/>
          <w:lang w:eastAsia="en-GB"/>
        </w:rPr>
        <w:t>to</w:t>
      </w:r>
      <w:r w:rsidRPr="006C7D7D">
        <w:rPr>
          <w:rFonts w:eastAsia="Times New Roman" w:cstheme="minorHAnsi"/>
          <w:lang w:eastAsia="en-GB"/>
        </w:rPr>
        <w:t xml:space="preserve">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5BF5B15" w14:textId="77777777" w:rsidR="00B632E8" w:rsidRDefault="00ED56EC" w:rsidP="00B632E8">
      <w:pPr>
        <w:rPr>
          <w:rFonts w:eastAsia="Times New Roman" w:cstheme="minorHAnsi"/>
          <w:lang w:eastAsia="en-GB"/>
        </w:rPr>
      </w:pPr>
      <w:r>
        <w:rPr>
          <w:rFonts w:eastAsia="Times New Roman" w:cstheme="minorHAnsi"/>
          <w:lang w:eastAsia="en-GB"/>
        </w:rPr>
        <w:t>Class teachers deliver the weekly lessons to their own classes</w:t>
      </w:r>
      <w:r w:rsidR="000F7FFA">
        <w:rPr>
          <w:rFonts w:eastAsia="Times New Roman" w:cstheme="minorHAnsi"/>
          <w:lang w:eastAsia="en-GB"/>
        </w:rPr>
        <w:t xml:space="preserve"> in most cases. If PSHE is covered by another teacher within school, the children </w:t>
      </w:r>
      <w:r w:rsidR="00B632E8">
        <w:rPr>
          <w:rFonts w:eastAsia="Times New Roman" w:cstheme="minorHAnsi"/>
          <w:lang w:eastAsia="en-GB"/>
        </w:rPr>
        <w:t>will have an established</w:t>
      </w:r>
      <w:r w:rsidR="000F7FFA">
        <w:rPr>
          <w:rFonts w:eastAsia="Times New Roman" w:cstheme="minorHAnsi"/>
          <w:lang w:eastAsia="en-GB"/>
        </w:rPr>
        <w:t xml:space="preserve"> relationship with this adult. We feel that this creates a safe learning environment. </w:t>
      </w:r>
    </w:p>
    <w:p w14:paraId="6D7A2ED1" w14:textId="77777777" w:rsidR="007A13DB" w:rsidRDefault="007A13DB" w:rsidP="00B632E8">
      <w:pPr>
        <w:rPr>
          <w:rFonts w:cstheme="minorHAnsi"/>
          <w:b/>
          <w:sz w:val="28"/>
        </w:rPr>
      </w:pPr>
    </w:p>
    <w:p w14:paraId="73A6E332" w14:textId="69420B7B" w:rsidR="00BD3327" w:rsidRPr="00B632E8" w:rsidRDefault="00BD3327" w:rsidP="00B632E8">
      <w:pPr>
        <w:rPr>
          <w:rFonts w:eastAsia="Times New Roman" w:cstheme="minorHAnsi"/>
          <w:lang w:eastAsia="en-GB"/>
        </w:rPr>
      </w:pPr>
      <w:r w:rsidRPr="00D7267F">
        <w:rPr>
          <w:rFonts w:cstheme="minorHAnsi"/>
          <w:b/>
          <w:sz w:val="28"/>
        </w:rPr>
        <w:lastRenderedPageBreak/>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19FB9B66" w:rsidR="00ED56EC" w:rsidRDefault="00CE099E" w:rsidP="00B632E8">
      <w:pPr>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42FDCEB7"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 xml:space="preserve">Schools are to determine the content of sex education at primary school. Sex education ‘should ensure that both boys and girls are prepared for the changes that adolescence brings and – drawing </w:t>
      </w:r>
      <w:r w:rsidRPr="00853729">
        <w:rPr>
          <w:rFonts w:cstheme="minorHAnsi"/>
        </w:rPr>
        <w:lastRenderedPageBreak/>
        <w:t>on knowledge of the human life cycle set out in the national curriculum for science - how a baby is conceived and born’.</w:t>
      </w:r>
    </w:p>
    <w:p w14:paraId="1E9C0656" w14:textId="6D00B8BC" w:rsidR="00CE099E" w:rsidRDefault="00CE099E" w:rsidP="00CE099E">
      <w:pPr>
        <w:spacing w:line="240" w:lineRule="auto"/>
        <w:rPr>
          <w:rFonts w:cstheme="minorHAnsi"/>
        </w:rPr>
      </w:pPr>
      <w:r>
        <w:rPr>
          <w:rFonts w:cstheme="minorHAnsi"/>
        </w:rPr>
        <w:t xml:space="preserve">At </w:t>
      </w:r>
      <w:r w:rsidR="000F7FFA">
        <w:rPr>
          <w:rFonts w:cstheme="minorHAnsi"/>
        </w:rPr>
        <w:t>Hunts Cross Primary</w:t>
      </w:r>
      <w:r>
        <w:rPr>
          <w:rFonts w:cstheme="minorHAnsi"/>
        </w:rPr>
        <w:t xml:space="preserve"> School</w:t>
      </w:r>
      <w:r w:rsidR="00CF0C47">
        <w:rPr>
          <w:rFonts w:cstheme="minorHAnsi"/>
        </w:rPr>
        <w:t>,</w:t>
      </w:r>
      <w:r>
        <w:rPr>
          <w:rFonts w:cstheme="minorHAnsi"/>
        </w:rPr>
        <w:t xml:space="preserve"> we believe children should understand the facts about human reproduction before they leave primary school s</w:t>
      </w:r>
      <w:r w:rsidR="000F7FFA">
        <w:rPr>
          <w:rFonts w:cstheme="minorHAnsi"/>
        </w:rPr>
        <w:t xml:space="preserve">o they are prepared for their changing bodies and </w:t>
      </w:r>
      <w:r w:rsidR="00B645F4">
        <w:rPr>
          <w:rFonts w:cstheme="minorHAnsi"/>
        </w:rPr>
        <w:t>have informed knowledge about growing up and how relationships change as t</w:t>
      </w:r>
      <w:r w:rsidR="002870DD">
        <w:rPr>
          <w:rFonts w:cstheme="minorHAnsi"/>
        </w:rPr>
        <w:t>hey move through life</w:t>
      </w:r>
      <w:r w:rsidR="00B645F4">
        <w:rPr>
          <w:rFonts w:cstheme="minorHAnsi"/>
        </w:rPr>
        <w:t xml:space="preserve">. </w:t>
      </w:r>
    </w:p>
    <w:p w14:paraId="6CEB7965" w14:textId="4FBBFAD5" w:rsidR="004469A2" w:rsidRDefault="00CF0C47" w:rsidP="00CE099E">
      <w:pPr>
        <w:spacing w:line="240" w:lineRule="auto"/>
        <w:rPr>
          <w:rFonts w:cstheme="minorHAnsi"/>
        </w:rPr>
      </w:pPr>
      <w:r>
        <w:rPr>
          <w:rFonts w:cstheme="minorHAnsi"/>
        </w:rPr>
        <w:t>We define Sex Education as</w:t>
      </w:r>
      <w:r w:rsidR="00B645F4">
        <w:rPr>
          <w:rFonts w:cstheme="minorHAnsi"/>
        </w:rPr>
        <w:t xml:space="preserve"> understanding human reproduction. </w:t>
      </w:r>
      <w:r>
        <w:rPr>
          <w:rFonts w:cstheme="minorHAnsi"/>
        </w:rPr>
        <w:t>We intend to teach this</w:t>
      </w:r>
      <w:r w:rsidR="00B645F4">
        <w:rPr>
          <w:rFonts w:cstheme="minorHAnsi"/>
        </w:rPr>
        <w:t xml:space="preserve"> within the PSHE curriculum. Please be aware that some aspects of Science</w:t>
      </w:r>
      <w:r w:rsidR="004469A2">
        <w:rPr>
          <w:rFonts w:cstheme="minorHAnsi"/>
        </w:rPr>
        <w:t xml:space="preserve"> in Year 5, Scientific facts will be taught that are statutory. For example:</w:t>
      </w:r>
    </w:p>
    <w:p w14:paraId="0BF6DA39" w14:textId="77777777" w:rsidR="004469A2" w:rsidRDefault="004469A2" w:rsidP="00CE099E">
      <w:pPr>
        <w:spacing w:line="240" w:lineRule="auto"/>
        <w:rPr>
          <w:rFonts w:cstheme="minorHAnsi"/>
        </w:rPr>
      </w:pPr>
      <w:r>
        <w:rPr>
          <w:rFonts w:cstheme="minorHAnsi"/>
        </w:rPr>
        <w:t xml:space="preserve"> -the life process of reproduction in some animals, </w:t>
      </w:r>
    </w:p>
    <w:p w14:paraId="17FC80F2" w14:textId="77777777" w:rsidR="004469A2" w:rsidRDefault="004469A2" w:rsidP="00CE099E">
      <w:pPr>
        <w:spacing w:line="240" w:lineRule="auto"/>
        <w:rPr>
          <w:rFonts w:cstheme="minorHAnsi"/>
        </w:rPr>
      </w:pPr>
      <w:r>
        <w:rPr>
          <w:rFonts w:cstheme="minorHAnsi"/>
        </w:rPr>
        <w:t xml:space="preserve">- describe the changes as humans grow to old age (begins at conception). </w:t>
      </w:r>
    </w:p>
    <w:p w14:paraId="4B4405AF" w14:textId="664F1223" w:rsidR="00BA3DAA" w:rsidRDefault="004469A2" w:rsidP="002870DD">
      <w:pPr>
        <w:spacing w:line="240" w:lineRule="auto"/>
        <w:rPr>
          <w:rFonts w:cstheme="minorHAnsi"/>
          <w:b/>
          <w:bCs/>
        </w:rPr>
      </w:pPr>
      <w:r w:rsidRPr="004469A2">
        <w:rPr>
          <w:rFonts w:cstheme="minorHAnsi"/>
          <w:b/>
          <w:bCs/>
        </w:rPr>
        <w:t xml:space="preserve">Please note that we do not cover conception specifically in PSHE until Year 6.  </w:t>
      </w:r>
      <w:r>
        <w:rPr>
          <w:rFonts w:cstheme="minorHAnsi"/>
          <w:b/>
          <w:bCs/>
        </w:rPr>
        <w:t>Parents do not have a right to withdraw from Science lessons</w:t>
      </w:r>
      <w:r w:rsidR="002870DD">
        <w:rPr>
          <w:rFonts w:cstheme="minorHAnsi"/>
          <w:b/>
          <w:bCs/>
        </w:rPr>
        <w:t xml:space="preserve"> in Year 5.</w:t>
      </w:r>
    </w:p>
    <w:p w14:paraId="0277BBF5" w14:textId="77777777" w:rsidR="002870DD" w:rsidRPr="002870DD" w:rsidRDefault="002870DD" w:rsidP="002870DD">
      <w:pPr>
        <w:spacing w:line="240" w:lineRule="auto"/>
        <w:rPr>
          <w:rFonts w:cstheme="minorHAnsi"/>
          <w:b/>
          <w:bCs/>
        </w:rPr>
      </w:pPr>
    </w:p>
    <w:p w14:paraId="2B7CBCE9" w14:textId="4F5A0379"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300E5D89" w14:textId="3263CCB9" w:rsidR="00CE099E" w:rsidRDefault="00CE099E" w:rsidP="00CE099E">
      <w:pPr>
        <w:spacing w:line="240" w:lineRule="auto"/>
        <w:rPr>
          <w:rFonts w:cstheme="minorHAnsi"/>
          <w:bCs/>
        </w:rPr>
      </w:pPr>
      <w:r>
        <w:rPr>
          <w:rFonts w:cstheme="minorHAnsi"/>
          <w:bCs/>
        </w:rPr>
        <w:t xml:space="preserve">At </w:t>
      </w:r>
      <w:r w:rsidR="00E13A36">
        <w:rPr>
          <w:rFonts w:cstheme="minorHAnsi"/>
          <w:bCs/>
        </w:rPr>
        <w:t>Hunts</w:t>
      </w:r>
      <w:r>
        <w:rPr>
          <w:rFonts w:cstheme="minorHAnsi"/>
          <w:bCs/>
        </w:rPr>
        <w:t xml:space="preserve"> School,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B632E8">
        <w:rPr>
          <w:rFonts w:cstheme="minorHAnsi"/>
          <w:bCs/>
        </w:rPr>
        <w:t>:</w:t>
      </w:r>
    </w:p>
    <w:p w14:paraId="26170D6F" w14:textId="597F6873" w:rsidR="00CE099E" w:rsidRPr="00A01B88" w:rsidRDefault="00B632E8" w:rsidP="00CE099E">
      <w:pPr>
        <w:spacing w:line="240" w:lineRule="auto"/>
        <w:rPr>
          <w:rFonts w:cstheme="minorHAnsi"/>
          <w:b/>
          <w:iCs/>
          <w:u w:val="single"/>
        </w:rPr>
      </w:pPr>
      <w:r w:rsidRPr="00A01B88">
        <w:rPr>
          <w:rFonts w:cstheme="minorHAnsi"/>
          <w:b/>
          <w:iCs/>
          <w:u w:val="single"/>
        </w:rPr>
        <w:t>-</w:t>
      </w:r>
      <w:r w:rsidR="00CE099E" w:rsidRPr="00A01B88">
        <w:rPr>
          <w:rFonts w:cstheme="minorHAnsi"/>
          <w:b/>
          <w:iCs/>
          <w:u w:val="single"/>
        </w:rPr>
        <w:t>Year 6, Lesson</w:t>
      </w:r>
      <w:r w:rsidR="00CF0C47" w:rsidRPr="00A01B88">
        <w:rPr>
          <w:rFonts w:cstheme="minorHAnsi"/>
          <w:b/>
          <w:iCs/>
          <w:u w:val="single"/>
        </w:rPr>
        <w:t xml:space="preserve"> </w:t>
      </w:r>
      <w:r w:rsidR="00293D64" w:rsidRPr="00A01B88">
        <w:rPr>
          <w:rFonts w:cstheme="minorHAnsi"/>
          <w:b/>
          <w:iCs/>
          <w:u w:val="single"/>
        </w:rPr>
        <w:t>4</w:t>
      </w:r>
      <w:r w:rsidR="00CF0C47" w:rsidRPr="00A01B88">
        <w:rPr>
          <w:rFonts w:cstheme="minorHAnsi"/>
          <w:b/>
          <w:iCs/>
          <w:u w:val="single"/>
        </w:rPr>
        <w:t xml:space="preserve"> (Conception</w:t>
      </w:r>
      <w:r w:rsidR="00293D64" w:rsidRPr="00A01B88">
        <w:rPr>
          <w:rFonts w:cstheme="minorHAnsi"/>
          <w:b/>
          <w:iCs/>
          <w:u w:val="single"/>
        </w:rPr>
        <w:t>- including IVF</w:t>
      </w:r>
      <w:r w:rsidR="00E13A36" w:rsidRPr="00A01B88">
        <w:rPr>
          <w:rFonts w:cstheme="minorHAnsi"/>
          <w:b/>
          <w:iCs/>
          <w:u w:val="single"/>
        </w:rPr>
        <w:t>)</w:t>
      </w:r>
      <w:r w:rsidR="007D5D3F" w:rsidRPr="00A01B88">
        <w:rPr>
          <w:rFonts w:cstheme="minorHAnsi"/>
          <w:b/>
          <w:iCs/>
          <w:u w:val="single"/>
        </w:rPr>
        <w:t>.</w:t>
      </w:r>
    </w:p>
    <w:p w14:paraId="66AA463C" w14:textId="0CC06FE0" w:rsidR="00A01B88" w:rsidRDefault="007D5D3F" w:rsidP="00CE099E">
      <w:pPr>
        <w:spacing w:line="240" w:lineRule="auto"/>
        <w:rPr>
          <w:rFonts w:cstheme="minorHAnsi"/>
          <w:bCs/>
          <w:iCs/>
        </w:rPr>
      </w:pPr>
      <w:r>
        <w:rPr>
          <w:rFonts w:cstheme="minorHAnsi"/>
          <w:bCs/>
          <w:iCs/>
        </w:rPr>
        <w:t xml:space="preserve">The school will inform parents of this right by Summer 1 before the Changing Me Puzzle is taught. </w:t>
      </w:r>
      <w:r w:rsidR="00A01B88">
        <w:rPr>
          <w:rFonts w:cstheme="minorHAnsi"/>
          <w:bCs/>
          <w:iCs/>
        </w:rPr>
        <w:t xml:space="preserve">An overview of what will be taught in each group alongside your right to withdraw if your child is in Year 6 will be sent out during this term. </w:t>
      </w:r>
      <w:r>
        <w:rPr>
          <w:rFonts w:cstheme="minorHAnsi"/>
          <w:bCs/>
          <w:iCs/>
        </w:rPr>
        <w:t>You will need to contact the school office to arrange a meeting with the PSHE coordinator or the headteacher to discuss this further.</w:t>
      </w:r>
    </w:p>
    <w:p w14:paraId="5EAF6678" w14:textId="21A45B23" w:rsidR="00CE099E" w:rsidRDefault="002870DD" w:rsidP="00CE099E">
      <w:pPr>
        <w:spacing w:line="240" w:lineRule="auto"/>
        <w:rPr>
          <w:rFonts w:cstheme="minorHAnsi"/>
          <w:bCs/>
          <w:iCs/>
        </w:rPr>
      </w:pPr>
      <w:r>
        <w:rPr>
          <w:rFonts w:cstheme="minorHAnsi"/>
          <w:bCs/>
          <w:iCs/>
        </w:rPr>
        <w:t xml:space="preserve">In other year </w:t>
      </w:r>
      <w:r w:rsidR="00A01B88">
        <w:rPr>
          <w:rFonts w:cstheme="minorHAnsi"/>
          <w:bCs/>
          <w:iCs/>
        </w:rPr>
        <w:t>groups (</w:t>
      </w:r>
      <w:r w:rsidR="007D5D3F">
        <w:rPr>
          <w:rFonts w:cstheme="minorHAnsi"/>
          <w:bCs/>
          <w:iCs/>
        </w:rPr>
        <w:t xml:space="preserve">Year </w:t>
      </w:r>
      <w:r>
        <w:rPr>
          <w:rFonts w:cstheme="minorHAnsi"/>
          <w:bCs/>
          <w:iCs/>
        </w:rPr>
        <w:t>4), we have chosen to complete the alternative lessons</w:t>
      </w:r>
      <w:r w:rsidR="007D5D3F">
        <w:rPr>
          <w:rFonts w:cstheme="minorHAnsi"/>
          <w:bCs/>
          <w:iCs/>
        </w:rPr>
        <w:t xml:space="preserve"> which do not cover Human Reproduction</w:t>
      </w:r>
      <w:r>
        <w:rPr>
          <w:rFonts w:cstheme="minorHAnsi"/>
          <w:bCs/>
          <w:iCs/>
        </w:rPr>
        <w:t xml:space="preserve"> e.g. </w:t>
      </w:r>
      <w:r w:rsidR="007D5D3F">
        <w:rPr>
          <w:rFonts w:cstheme="minorHAnsi"/>
          <w:bCs/>
          <w:iCs/>
        </w:rPr>
        <w:t>‘</w:t>
      </w:r>
      <w:r>
        <w:rPr>
          <w:rFonts w:cstheme="minorHAnsi"/>
          <w:bCs/>
          <w:iCs/>
        </w:rPr>
        <w:t>Having a baby</w:t>
      </w:r>
      <w:r w:rsidR="007D5D3F">
        <w:rPr>
          <w:rFonts w:cstheme="minorHAnsi"/>
          <w:bCs/>
          <w:iCs/>
        </w:rPr>
        <w:t>’ will not be taught and we will teach an</w:t>
      </w:r>
      <w:r>
        <w:rPr>
          <w:rFonts w:cstheme="minorHAnsi"/>
          <w:bCs/>
          <w:iCs/>
        </w:rPr>
        <w:t xml:space="preserve"> alternative lesson about parental responsibilities. Therefore, all children will be present in these lessons</w:t>
      </w:r>
      <w:r w:rsidR="00A01B88">
        <w:rPr>
          <w:rFonts w:cstheme="minorHAnsi"/>
          <w:bCs/>
          <w:iCs/>
        </w:rPr>
        <w:t xml:space="preserve">. We do welcome and encourage parents to </w:t>
      </w:r>
      <w:r w:rsidR="005101C4">
        <w:rPr>
          <w:rFonts w:cstheme="minorHAnsi"/>
          <w:bCs/>
          <w:iCs/>
        </w:rPr>
        <w:t>contact</w:t>
      </w:r>
      <w:r w:rsidR="00A01B88">
        <w:rPr>
          <w:rFonts w:cstheme="minorHAnsi"/>
          <w:bCs/>
          <w:iCs/>
        </w:rPr>
        <w:t xml:space="preserve"> our PSHE coordinator </w:t>
      </w:r>
      <w:r w:rsidR="005101C4">
        <w:rPr>
          <w:rFonts w:cstheme="minorHAnsi"/>
          <w:bCs/>
          <w:iCs/>
        </w:rPr>
        <w:t>to</w:t>
      </w:r>
      <w:r w:rsidR="00A01B88">
        <w:rPr>
          <w:rFonts w:cstheme="minorHAnsi"/>
          <w:bCs/>
          <w:iCs/>
        </w:rPr>
        <w:t xml:space="preserve"> have a look at the resources their child will be using in different year groups.</w:t>
      </w:r>
      <w:r w:rsidR="005101C4">
        <w:rPr>
          <w:rFonts w:cstheme="minorHAnsi"/>
          <w:bCs/>
          <w:iCs/>
        </w:rPr>
        <w:t xml:space="preserve"> We find that</w:t>
      </w:r>
      <w:r w:rsidR="00A01B88">
        <w:rPr>
          <w:rFonts w:cstheme="minorHAnsi"/>
          <w:bCs/>
          <w:iCs/>
        </w:rPr>
        <w:t xml:space="preserve"> </w:t>
      </w:r>
      <w:r w:rsidR="005101C4">
        <w:rPr>
          <w:rFonts w:cstheme="minorHAnsi"/>
          <w:bCs/>
          <w:iCs/>
        </w:rPr>
        <w:t xml:space="preserve">most fears are put at rest once open conversations happen and concerns are shared.  </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059F39D1"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w:t>
      </w:r>
      <w:r w:rsidR="00293D64" w:rsidRPr="00125FCF">
        <w:rPr>
          <w:rFonts w:cs="FuturaBT-Light"/>
          <w:color w:val="000000" w:themeColor="text1"/>
        </w:rPr>
        <w:t>programme and</w:t>
      </w:r>
      <w:r w:rsidRPr="00125FCF">
        <w:rPr>
          <w:rFonts w:cs="FuturaBT-Light"/>
          <w:color w:val="000000" w:themeColor="text1"/>
        </w:rPr>
        <w:t xml:space="preserve">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4A2A261A" w14:textId="77777777" w:rsidR="00BA3DAA" w:rsidRDefault="00BA3DAA">
      <w:pPr>
        <w:rPr>
          <w:rFonts w:cstheme="minorHAnsi"/>
          <w:b/>
          <w:iCs/>
        </w:rPr>
      </w:pPr>
      <w:r>
        <w:rPr>
          <w:rFonts w:cstheme="minorHAnsi"/>
          <w:b/>
          <w:iCs/>
        </w:rPr>
        <w:br w:type="page"/>
      </w:r>
    </w:p>
    <w:p w14:paraId="6BC1E7B0" w14:textId="4E0481AB"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1DEF6F3D" w14:textId="77777777" w:rsidR="00BA3DAA" w:rsidRDefault="00BA3DAA" w:rsidP="002F17FD">
      <w:pPr>
        <w:autoSpaceDE w:val="0"/>
        <w:autoSpaceDN w:val="0"/>
        <w:adjustRightInd w:val="0"/>
        <w:spacing w:after="0" w:line="240" w:lineRule="auto"/>
        <w:rPr>
          <w:rFonts w:cstheme="minorHAnsi"/>
          <w:b/>
          <w:iCs/>
        </w:rPr>
      </w:pP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51942C2" w14:textId="156AF3A9" w:rsidR="00D00534" w:rsidRDefault="008B566A" w:rsidP="002F17FD">
      <w:pPr>
        <w:autoSpaceDE w:val="0"/>
        <w:autoSpaceDN w:val="0"/>
        <w:adjustRightInd w:val="0"/>
        <w:spacing w:after="0" w:line="240" w:lineRule="auto"/>
        <w:rPr>
          <w:rFonts w:cstheme="minorHAnsi"/>
          <w:bCs/>
          <w:iCs/>
        </w:rPr>
      </w:pPr>
      <w:r>
        <w:rPr>
          <w:rFonts w:cstheme="minorHAnsi"/>
          <w:bCs/>
          <w:iCs/>
        </w:rPr>
        <w:t>Children learn about different family lives throughout their time at Hunts Cross. They learn specifically about this during the ‘Relationships’ unit</w:t>
      </w:r>
      <w:r w:rsidR="00D00534">
        <w:rPr>
          <w:rFonts w:cstheme="minorHAnsi"/>
          <w:bCs/>
          <w:iCs/>
        </w:rPr>
        <w:t>:</w:t>
      </w:r>
    </w:p>
    <w:p w14:paraId="43124EEB" w14:textId="2891DA34" w:rsidR="00D00534" w:rsidRDefault="00D00534" w:rsidP="00D00534">
      <w:pPr>
        <w:pStyle w:val="ListParagraph"/>
        <w:numPr>
          <w:ilvl w:val="0"/>
          <w:numId w:val="38"/>
        </w:numPr>
        <w:autoSpaceDE w:val="0"/>
        <w:autoSpaceDN w:val="0"/>
        <w:adjustRightInd w:val="0"/>
        <w:spacing w:after="0" w:line="240" w:lineRule="auto"/>
        <w:rPr>
          <w:rFonts w:cstheme="minorHAnsi"/>
          <w:bCs/>
          <w:iCs/>
        </w:rPr>
      </w:pPr>
      <w:r>
        <w:rPr>
          <w:rFonts w:cstheme="minorHAnsi"/>
          <w:bCs/>
          <w:iCs/>
        </w:rPr>
        <w:t>Reception- Know what a family is.</w:t>
      </w:r>
    </w:p>
    <w:p w14:paraId="7E6CD407" w14:textId="4F1A77A3" w:rsidR="00D00534" w:rsidRPr="00D00534" w:rsidRDefault="00D00534" w:rsidP="00D00534">
      <w:pPr>
        <w:pStyle w:val="ListParagraph"/>
        <w:numPr>
          <w:ilvl w:val="0"/>
          <w:numId w:val="38"/>
        </w:numPr>
        <w:autoSpaceDE w:val="0"/>
        <w:autoSpaceDN w:val="0"/>
        <w:adjustRightInd w:val="0"/>
        <w:spacing w:after="0" w:line="240" w:lineRule="auto"/>
        <w:rPr>
          <w:rFonts w:cstheme="minorHAnsi"/>
          <w:bCs/>
          <w:iCs/>
        </w:rPr>
      </w:pPr>
      <w:r>
        <w:rPr>
          <w:rFonts w:cstheme="minorHAnsi"/>
          <w:bCs/>
          <w:iCs/>
        </w:rPr>
        <w:t>Year 1- Know that everyone’s family is different and there are lots of types of families.</w:t>
      </w:r>
    </w:p>
    <w:p w14:paraId="3D0B664C" w14:textId="0930A054" w:rsidR="00D00534" w:rsidRPr="00D00534" w:rsidRDefault="00D00534" w:rsidP="00D00534">
      <w:pPr>
        <w:pStyle w:val="ListParagraph"/>
        <w:numPr>
          <w:ilvl w:val="0"/>
          <w:numId w:val="38"/>
        </w:numPr>
        <w:autoSpaceDE w:val="0"/>
        <w:autoSpaceDN w:val="0"/>
        <w:adjustRightInd w:val="0"/>
        <w:spacing w:after="0" w:line="240" w:lineRule="auto"/>
        <w:rPr>
          <w:rFonts w:cstheme="minorHAnsi"/>
          <w:b/>
          <w:i/>
        </w:rPr>
      </w:pPr>
      <w:r>
        <w:rPr>
          <w:rFonts w:cstheme="minorHAnsi"/>
          <w:bCs/>
          <w:iCs/>
        </w:rPr>
        <w:t xml:space="preserve">Year 2-Know that everyone’s family is different and that families function well when there is love, trust, care respect and cooperation. </w:t>
      </w:r>
    </w:p>
    <w:p w14:paraId="29837E73" w14:textId="4842F58B" w:rsidR="00D00534" w:rsidRPr="00D00534" w:rsidRDefault="00D00534" w:rsidP="00D00534">
      <w:pPr>
        <w:pStyle w:val="ListParagraph"/>
        <w:numPr>
          <w:ilvl w:val="0"/>
          <w:numId w:val="38"/>
        </w:numPr>
        <w:autoSpaceDE w:val="0"/>
        <w:autoSpaceDN w:val="0"/>
        <w:adjustRightInd w:val="0"/>
        <w:spacing w:after="0" w:line="240" w:lineRule="auto"/>
        <w:rPr>
          <w:rFonts w:cstheme="minorHAnsi"/>
          <w:b/>
          <w:i/>
        </w:rPr>
      </w:pPr>
      <w:r>
        <w:rPr>
          <w:rFonts w:cstheme="minorHAnsi"/>
        </w:rPr>
        <w:t xml:space="preserve">Year 3- Know that gender stereotypes can be unfair. </w:t>
      </w:r>
    </w:p>
    <w:p w14:paraId="307CA409" w14:textId="65A988F4" w:rsidR="00CE099E" w:rsidRPr="000176A0" w:rsidRDefault="008B566A" w:rsidP="00D00534">
      <w:pPr>
        <w:autoSpaceDE w:val="0"/>
        <w:autoSpaceDN w:val="0"/>
        <w:adjustRightInd w:val="0"/>
        <w:spacing w:after="0" w:line="240" w:lineRule="auto"/>
        <w:rPr>
          <w:rFonts w:cstheme="minorHAnsi"/>
          <w:bCs/>
          <w:iCs/>
        </w:rPr>
      </w:pPr>
      <w:r w:rsidRPr="00D00534">
        <w:rPr>
          <w:rFonts w:cstheme="minorHAnsi"/>
          <w:bCs/>
          <w:iCs/>
        </w:rPr>
        <w:t>Alongside this, children will hear stories and interact resources which share different families</w:t>
      </w:r>
      <w:r w:rsidR="00D00534">
        <w:rPr>
          <w:rFonts w:cstheme="minorHAnsi"/>
          <w:bCs/>
          <w:iCs/>
        </w:rPr>
        <w:t xml:space="preserve"> through assemblies and class story times. Children throughout the school have access to age appropriate resources that promote diversity.  </w:t>
      </w:r>
      <w:r w:rsidR="000176A0">
        <w:t>There are many family situations; some children will have parents who are separated, some may live with a mum and a dad, some may have stepparents, some may live in extended multi-generational families, and some may be fostered or adopted. Some may have other family arrangements; and some of those in parenting roles will be heterosexual and some will be LGBT+. We believe the gender identity and sexual orientation of parents and family members is what it is. This is their business, no-one else’s, and in children’s eyes is insignificant as these are the people they love and who love and care for them.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5B9F238D"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293D64">
        <w:rPr>
          <w:rFonts w:cstheme="minorHAnsi"/>
          <w:bCs/>
        </w:rPr>
        <w:t xml:space="preserve">Hunts Cross </w:t>
      </w:r>
      <w:r w:rsidRPr="00CE099E">
        <w:rPr>
          <w:rFonts w:cstheme="minorHAnsi"/>
          <w:bCs/>
        </w:rPr>
        <w:t>School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E7094B">
        <w:rPr>
          <w:rFonts w:cstheme="minorHAnsi"/>
          <w:highlight w:val="yellow"/>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10FA833" w14:textId="4F70FE66" w:rsidR="00A42CAC" w:rsidRDefault="00A42CAC" w:rsidP="0027651A">
      <w:pPr>
        <w:spacing w:line="240" w:lineRule="auto"/>
        <w:rPr>
          <w:rFonts w:cstheme="minorHAnsi"/>
        </w:rPr>
      </w:pPr>
      <w:bookmarkStart w:id="0" w:name="_GoBack"/>
      <w:bookmarkEnd w:id="0"/>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11"/>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2">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6B9AC0E6" w14:textId="77777777" w:rsidR="00962683" w:rsidRDefault="00962683" w:rsidP="00962683">
            <w:pPr>
              <w:rPr>
                <w:rFonts w:cstheme="minorHAnsi"/>
              </w:rPr>
            </w:pPr>
            <w:r>
              <w:rPr>
                <w:rFonts w:cstheme="minorHAnsi"/>
              </w:rPr>
              <w:t>All of these aspects are covered in lessons within the Puzzles</w:t>
            </w:r>
          </w:p>
          <w:p w14:paraId="2AE73A15" w14:textId="77777777" w:rsidR="00962683" w:rsidRDefault="00962683" w:rsidP="00962683">
            <w:pPr>
              <w:rPr>
                <w:rFonts w:cstheme="minorHAnsi"/>
              </w:rPr>
            </w:pPr>
          </w:p>
          <w:p w14:paraId="03ABFB4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77D4208B" w14:textId="0DC5E6B8" w:rsidR="00962683" w:rsidRDefault="00962683" w:rsidP="00962683">
            <w:pPr>
              <w:pStyle w:val="ListParagraph"/>
              <w:numPr>
                <w:ilvl w:val="0"/>
                <w:numId w:val="36"/>
              </w:numPr>
              <w:spacing w:after="0" w:line="240" w:lineRule="auto"/>
              <w:rPr>
                <w:rFonts w:cstheme="minorHAnsi"/>
              </w:rPr>
            </w:pPr>
            <w:r>
              <w:rPr>
                <w:rFonts w:cstheme="minorHAnsi"/>
              </w:rPr>
              <w:t xml:space="preserve">Celebrating </w:t>
            </w:r>
            <w:r w:rsidR="00293D64">
              <w:rPr>
                <w:rFonts w:cstheme="minorHAnsi"/>
              </w:rPr>
              <w:t>Difference</w:t>
            </w:r>
          </w:p>
          <w:p w14:paraId="1FF16C75"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5AC8B8AD" w14:textId="77777777" w:rsidR="005F6A8F" w:rsidRPr="005C39AF" w:rsidRDefault="005F6A8F" w:rsidP="005C39AF">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616D24E0" w14:textId="77777777" w:rsidR="00962683" w:rsidRDefault="00962683" w:rsidP="00962683">
            <w:pPr>
              <w:rPr>
                <w:rFonts w:cstheme="minorHAnsi"/>
              </w:rPr>
            </w:pPr>
            <w:r>
              <w:rPr>
                <w:rFonts w:cstheme="minorHAnsi"/>
              </w:rPr>
              <w:t>All of these aspects are covered in lessons within the Puzzles</w:t>
            </w:r>
          </w:p>
          <w:p w14:paraId="332C856F" w14:textId="77777777" w:rsidR="00962683" w:rsidRDefault="00962683" w:rsidP="00962683">
            <w:pPr>
              <w:pStyle w:val="ListParagraph"/>
              <w:spacing w:after="0" w:line="240" w:lineRule="auto"/>
              <w:ind w:left="360"/>
              <w:rPr>
                <w:rFonts w:cstheme="minorHAnsi"/>
              </w:rPr>
            </w:pPr>
          </w:p>
          <w:p w14:paraId="4E07C7E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1B8D5EFC" w14:textId="77777777" w:rsidR="00962683" w:rsidRDefault="00962683" w:rsidP="00962683">
            <w:pPr>
              <w:pStyle w:val="ListParagraph"/>
              <w:numPr>
                <w:ilvl w:val="0"/>
                <w:numId w:val="36"/>
              </w:numPr>
              <w:spacing w:after="0" w:line="240" w:lineRule="auto"/>
              <w:rPr>
                <w:rFonts w:cstheme="minorHAnsi"/>
              </w:rPr>
            </w:pPr>
            <w:r>
              <w:rPr>
                <w:rFonts w:cstheme="minorHAnsi"/>
              </w:rPr>
              <w:t>Celebrating Difference</w:t>
            </w:r>
          </w:p>
          <w:p w14:paraId="1981B082" w14:textId="77777777" w:rsidR="00962683" w:rsidRDefault="00962683" w:rsidP="00962683">
            <w:pPr>
              <w:pStyle w:val="ListParagraph"/>
              <w:numPr>
                <w:ilvl w:val="0"/>
                <w:numId w:val="36"/>
              </w:numPr>
              <w:spacing w:after="0" w:line="240" w:lineRule="auto"/>
              <w:rPr>
                <w:rFonts w:cstheme="minorHAnsi"/>
              </w:rPr>
            </w:pPr>
            <w:r>
              <w:rPr>
                <w:rFonts w:cstheme="minorHAnsi"/>
              </w:rPr>
              <w:t>Dreams and Goals</w:t>
            </w:r>
          </w:p>
          <w:p w14:paraId="1F5D1F3B" w14:textId="77777777" w:rsidR="00962683" w:rsidRDefault="00962683" w:rsidP="00962683">
            <w:pPr>
              <w:pStyle w:val="ListParagraph"/>
              <w:numPr>
                <w:ilvl w:val="0"/>
                <w:numId w:val="36"/>
              </w:numPr>
              <w:spacing w:after="0" w:line="240" w:lineRule="auto"/>
              <w:rPr>
                <w:rFonts w:cstheme="minorHAnsi"/>
              </w:rPr>
            </w:pPr>
            <w:r>
              <w:rPr>
                <w:rFonts w:cstheme="minorHAnsi"/>
              </w:rPr>
              <w:t>Healthy Me</w:t>
            </w:r>
          </w:p>
          <w:p w14:paraId="5283D028"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25D57170" w14:textId="77777777" w:rsidR="00962683" w:rsidRDefault="00962683" w:rsidP="00962683">
            <w:pPr>
              <w:pStyle w:val="ListParagraph"/>
              <w:numPr>
                <w:ilvl w:val="0"/>
                <w:numId w:val="36"/>
              </w:numPr>
              <w:spacing w:after="0" w:line="240" w:lineRule="auto"/>
              <w:rPr>
                <w:rFonts w:cstheme="minorHAnsi"/>
              </w:rPr>
            </w:pPr>
            <w:r>
              <w:rPr>
                <w:rFonts w:cstheme="minorHAnsi"/>
              </w:rPr>
              <w:t>Changing Me</w:t>
            </w:r>
          </w:p>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lastRenderedPageBreak/>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EFBAE4E" w14:textId="77777777" w:rsidR="005C39AF" w:rsidRDefault="005C39AF" w:rsidP="005C39AF">
            <w:pPr>
              <w:rPr>
                <w:rFonts w:cstheme="minorHAnsi"/>
              </w:rPr>
            </w:pPr>
            <w:r>
              <w:rPr>
                <w:rFonts w:cstheme="minorHAnsi"/>
              </w:rPr>
              <w:t>All of these aspects are covered in lessons within the Puzzles</w:t>
            </w:r>
          </w:p>
          <w:p w14:paraId="085AB47D" w14:textId="77777777" w:rsidR="005C39AF" w:rsidRDefault="005C39AF" w:rsidP="005C39AF">
            <w:pPr>
              <w:rPr>
                <w:rFonts w:cstheme="minorHAnsi"/>
              </w:rPr>
            </w:pPr>
          </w:p>
          <w:p w14:paraId="1ACAE432" w14:textId="77777777" w:rsidR="005C39AF" w:rsidRDefault="005C39AF" w:rsidP="005C39AF">
            <w:pPr>
              <w:pStyle w:val="ListParagraph"/>
              <w:numPr>
                <w:ilvl w:val="0"/>
                <w:numId w:val="19"/>
              </w:numPr>
              <w:spacing w:after="0" w:line="240" w:lineRule="auto"/>
              <w:rPr>
                <w:rFonts w:cstheme="minorHAnsi"/>
              </w:rPr>
            </w:pPr>
            <w:r>
              <w:rPr>
                <w:rFonts w:cstheme="minorHAnsi"/>
              </w:rPr>
              <w:t>Healthy Me</w:t>
            </w:r>
          </w:p>
          <w:p w14:paraId="257BA23C" w14:textId="6A74AB49" w:rsidR="005F6A8F" w:rsidRPr="005C39AF" w:rsidRDefault="005F6A8F" w:rsidP="005C39AF">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7E9F" w14:textId="77777777" w:rsidR="00521E78" w:rsidRDefault="00521E78" w:rsidP="00644263">
      <w:pPr>
        <w:spacing w:after="0" w:line="240" w:lineRule="auto"/>
      </w:pPr>
      <w:r>
        <w:separator/>
      </w:r>
    </w:p>
  </w:endnote>
  <w:endnote w:type="continuationSeparator" w:id="0">
    <w:p w14:paraId="61F81E89" w14:textId="77777777" w:rsidR="00521E78" w:rsidRDefault="00521E78"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8038" w14:textId="57AEE5A3" w:rsidR="00974E44" w:rsidRPr="00804343" w:rsidRDefault="00974E44" w:rsidP="00804343">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5EFE0" w14:textId="77777777" w:rsidR="00521E78" w:rsidRDefault="00521E78" w:rsidP="00644263">
      <w:pPr>
        <w:spacing w:after="0" w:line="240" w:lineRule="auto"/>
      </w:pPr>
      <w:r>
        <w:separator/>
      </w:r>
    </w:p>
  </w:footnote>
  <w:footnote w:type="continuationSeparator" w:id="0">
    <w:p w14:paraId="67F2B196" w14:textId="77777777" w:rsidR="00521E78" w:rsidRDefault="00521E78"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25A5F"/>
    <w:multiLevelType w:val="singleLevel"/>
    <w:tmpl w:val="FFFFFFFF"/>
    <w:lvl w:ilvl="0">
      <w:numFmt w:val="decimal"/>
      <w:lvlText w:val="*"/>
      <w:lvlJc w:val="left"/>
    </w:lvl>
  </w:abstractNum>
  <w:abstractNum w:abstractNumId="3">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474B13"/>
    <w:multiLevelType w:val="hybridMultilevel"/>
    <w:tmpl w:val="595A4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B1CEB"/>
    <w:multiLevelType w:val="hybridMultilevel"/>
    <w:tmpl w:val="5C3036F4"/>
    <w:lvl w:ilvl="0" w:tplc="02F25D14">
      <w:numFmt w:val="bullet"/>
      <w:lvlText w:val="-"/>
      <w:lvlJc w:val="left"/>
      <w:pPr>
        <w:ind w:left="720" w:hanging="360"/>
      </w:pPr>
      <w:rPr>
        <w:rFonts w:ascii="Calibri" w:eastAsiaTheme="minorHAnsi" w:hAnsi="Calibri" w:cs="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D0DE1"/>
    <w:multiLevelType w:val="multilevel"/>
    <w:tmpl w:val="4AB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5">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6">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5"/>
  </w:num>
  <w:num w:numId="4">
    <w:abstractNumId w:val="30"/>
  </w:num>
  <w:num w:numId="5">
    <w:abstractNumId w:val="9"/>
  </w:num>
  <w:num w:numId="6">
    <w:abstractNumId w:val="2"/>
  </w:num>
  <w:num w:numId="7">
    <w:abstractNumId w:val="32"/>
  </w:num>
  <w:num w:numId="8">
    <w:abstractNumId w:val="22"/>
  </w:num>
  <w:num w:numId="9">
    <w:abstractNumId w:val="3"/>
  </w:num>
  <w:num w:numId="10">
    <w:abstractNumId w:val="21"/>
  </w:num>
  <w:num w:numId="11">
    <w:abstractNumId w:val="26"/>
  </w:num>
  <w:num w:numId="12">
    <w:abstractNumId w:val="34"/>
  </w:num>
  <w:num w:numId="13">
    <w:abstractNumId w:val="14"/>
  </w:num>
  <w:num w:numId="14">
    <w:abstractNumId w:val="29"/>
  </w:num>
  <w:num w:numId="15">
    <w:abstractNumId w:val="15"/>
  </w:num>
  <w:num w:numId="16">
    <w:abstractNumId w:val="24"/>
  </w:num>
  <w:num w:numId="17">
    <w:abstractNumId w:val="1"/>
  </w:num>
  <w:num w:numId="18">
    <w:abstractNumId w:val="23"/>
  </w:num>
  <w:num w:numId="19">
    <w:abstractNumId w:val="27"/>
  </w:num>
  <w:num w:numId="20">
    <w:abstractNumId w:val="10"/>
  </w:num>
  <w:num w:numId="21">
    <w:abstractNumId w:val="36"/>
  </w:num>
  <w:num w:numId="22">
    <w:abstractNumId w:val="16"/>
  </w:num>
  <w:num w:numId="23">
    <w:abstractNumId w:val="28"/>
  </w:num>
  <w:num w:numId="24">
    <w:abstractNumId w:val="7"/>
  </w:num>
  <w:num w:numId="25">
    <w:abstractNumId w:val="25"/>
  </w:num>
  <w:num w:numId="26">
    <w:abstractNumId w:val="5"/>
  </w:num>
  <w:num w:numId="27">
    <w:abstractNumId w:val="13"/>
  </w:num>
  <w:num w:numId="28">
    <w:abstractNumId w:val="8"/>
  </w:num>
  <w:num w:numId="29">
    <w:abstractNumId w:val="33"/>
  </w:num>
  <w:num w:numId="30">
    <w:abstractNumId w:val="18"/>
  </w:num>
  <w:num w:numId="31">
    <w:abstractNumId w:val="4"/>
  </w:num>
  <w:num w:numId="32">
    <w:abstractNumId w:val="6"/>
  </w:num>
  <w:num w:numId="33">
    <w:abstractNumId w:val="12"/>
  </w:num>
  <w:num w:numId="34">
    <w:abstractNumId w:val="31"/>
  </w:num>
  <w:num w:numId="35">
    <w:abstractNumId w:val="11"/>
  </w:num>
  <w:num w:numId="36">
    <w:abstractNumId w:val="25"/>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B"/>
    <w:rsid w:val="000176A0"/>
    <w:rsid w:val="00044556"/>
    <w:rsid w:val="00046A23"/>
    <w:rsid w:val="000544EA"/>
    <w:rsid w:val="00087D1F"/>
    <w:rsid w:val="000A0702"/>
    <w:rsid w:val="000A522E"/>
    <w:rsid w:val="000C0139"/>
    <w:rsid w:val="000C170D"/>
    <w:rsid w:val="000C1E11"/>
    <w:rsid w:val="000E3BCE"/>
    <w:rsid w:val="000F7FFA"/>
    <w:rsid w:val="001141B6"/>
    <w:rsid w:val="00125FCF"/>
    <w:rsid w:val="0017200A"/>
    <w:rsid w:val="0018147E"/>
    <w:rsid w:val="00191ED2"/>
    <w:rsid w:val="001B05E7"/>
    <w:rsid w:val="001D4693"/>
    <w:rsid w:val="001F074B"/>
    <w:rsid w:val="0022716D"/>
    <w:rsid w:val="00234271"/>
    <w:rsid w:val="00252AA1"/>
    <w:rsid w:val="0027651A"/>
    <w:rsid w:val="002870DD"/>
    <w:rsid w:val="00293D64"/>
    <w:rsid w:val="002C013D"/>
    <w:rsid w:val="002D1B04"/>
    <w:rsid w:val="002F17FD"/>
    <w:rsid w:val="002F5329"/>
    <w:rsid w:val="00332EE8"/>
    <w:rsid w:val="004003D9"/>
    <w:rsid w:val="0043584B"/>
    <w:rsid w:val="004469A2"/>
    <w:rsid w:val="00446F45"/>
    <w:rsid w:val="00451A5E"/>
    <w:rsid w:val="00477C7F"/>
    <w:rsid w:val="004A29B3"/>
    <w:rsid w:val="004B294A"/>
    <w:rsid w:val="004B328B"/>
    <w:rsid w:val="004E038C"/>
    <w:rsid w:val="004E6B81"/>
    <w:rsid w:val="005049D2"/>
    <w:rsid w:val="005101C4"/>
    <w:rsid w:val="005153CA"/>
    <w:rsid w:val="005204FB"/>
    <w:rsid w:val="00521E78"/>
    <w:rsid w:val="00534B6E"/>
    <w:rsid w:val="00546A81"/>
    <w:rsid w:val="005601DE"/>
    <w:rsid w:val="00590156"/>
    <w:rsid w:val="00592A68"/>
    <w:rsid w:val="00596B33"/>
    <w:rsid w:val="005973C8"/>
    <w:rsid w:val="005A6816"/>
    <w:rsid w:val="005B4EC5"/>
    <w:rsid w:val="005C39AF"/>
    <w:rsid w:val="005D0FD6"/>
    <w:rsid w:val="005D1E24"/>
    <w:rsid w:val="005F6A8F"/>
    <w:rsid w:val="00603F15"/>
    <w:rsid w:val="006215D2"/>
    <w:rsid w:val="00644263"/>
    <w:rsid w:val="00662238"/>
    <w:rsid w:val="0067219D"/>
    <w:rsid w:val="00673DE5"/>
    <w:rsid w:val="006A586F"/>
    <w:rsid w:val="006C1FB2"/>
    <w:rsid w:val="006C7D7D"/>
    <w:rsid w:val="006D2BD4"/>
    <w:rsid w:val="0071405C"/>
    <w:rsid w:val="0072558E"/>
    <w:rsid w:val="0075081B"/>
    <w:rsid w:val="00763DF5"/>
    <w:rsid w:val="007647F8"/>
    <w:rsid w:val="00770B09"/>
    <w:rsid w:val="007A13DB"/>
    <w:rsid w:val="007C38AE"/>
    <w:rsid w:val="007D5D3F"/>
    <w:rsid w:val="007F127F"/>
    <w:rsid w:val="007F6ABD"/>
    <w:rsid w:val="00801288"/>
    <w:rsid w:val="00804343"/>
    <w:rsid w:val="00811F8C"/>
    <w:rsid w:val="00812C7B"/>
    <w:rsid w:val="00813091"/>
    <w:rsid w:val="0082237A"/>
    <w:rsid w:val="008260DC"/>
    <w:rsid w:val="00827042"/>
    <w:rsid w:val="00853729"/>
    <w:rsid w:val="00854148"/>
    <w:rsid w:val="00863F5E"/>
    <w:rsid w:val="008664B9"/>
    <w:rsid w:val="008779C6"/>
    <w:rsid w:val="00894C1B"/>
    <w:rsid w:val="008A4C62"/>
    <w:rsid w:val="008A5198"/>
    <w:rsid w:val="008B566A"/>
    <w:rsid w:val="008C6A35"/>
    <w:rsid w:val="008D01AE"/>
    <w:rsid w:val="008F49B2"/>
    <w:rsid w:val="008F76B3"/>
    <w:rsid w:val="0090364C"/>
    <w:rsid w:val="00904295"/>
    <w:rsid w:val="00917BD5"/>
    <w:rsid w:val="00946FB0"/>
    <w:rsid w:val="00962683"/>
    <w:rsid w:val="0096325F"/>
    <w:rsid w:val="00974E44"/>
    <w:rsid w:val="009848C4"/>
    <w:rsid w:val="009B041F"/>
    <w:rsid w:val="009B0C8E"/>
    <w:rsid w:val="009B12A4"/>
    <w:rsid w:val="009B74B9"/>
    <w:rsid w:val="009D10F2"/>
    <w:rsid w:val="009E49F4"/>
    <w:rsid w:val="009F5EE0"/>
    <w:rsid w:val="00A01B88"/>
    <w:rsid w:val="00A42CAC"/>
    <w:rsid w:val="00A56A3D"/>
    <w:rsid w:val="00A57CB2"/>
    <w:rsid w:val="00A72296"/>
    <w:rsid w:val="00AC5DEB"/>
    <w:rsid w:val="00AC6C09"/>
    <w:rsid w:val="00AD2328"/>
    <w:rsid w:val="00B07C08"/>
    <w:rsid w:val="00B134E5"/>
    <w:rsid w:val="00B321CF"/>
    <w:rsid w:val="00B5742B"/>
    <w:rsid w:val="00B632E8"/>
    <w:rsid w:val="00B645F4"/>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00534"/>
    <w:rsid w:val="00D1227C"/>
    <w:rsid w:val="00D428A7"/>
    <w:rsid w:val="00D44141"/>
    <w:rsid w:val="00D70675"/>
    <w:rsid w:val="00D7267F"/>
    <w:rsid w:val="00D81EF2"/>
    <w:rsid w:val="00D903A1"/>
    <w:rsid w:val="00DC1CE5"/>
    <w:rsid w:val="00DD673B"/>
    <w:rsid w:val="00E06E73"/>
    <w:rsid w:val="00E13A36"/>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2361-AFB1-4031-9FD2-A71C4358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HP User</cp:lastModifiedBy>
  <cp:revision>5</cp:revision>
  <cp:lastPrinted>2022-04-06T06:02:00Z</cp:lastPrinted>
  <dcterms:created xsi:type="dcterms:W3CDTF">2022-04-01T12:25:00Z</dcterms:created>
  <dcterms:modified xsi:type="dcterms:W3CDTF">2022-04-06T06:08:00Z</dcterms:modified>
</cp:coreProperties>
</file>